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896483" w:rsidTr="009C027B">
        <w:tc>
          <w:tcPr>
            <w:tcW w:w="9350" w:type="dxa"/>
          </w:tcPr>
          <w:p w:rsidR="00896483" w:rsidRPr="00896483" w:rsidRDefault="00896483">
            <w:pPr>
              <w:rPr>
                <w:rFonts w:ascii="Arial" w:hAnsi="Arial" w:cs="Arial"/>
                <w:b/>
                <w:sz w:val="24"/>
                <w:szCs w:val="24"/>
              </w:rPr>
            </w:pPr>
            <w:r w:rsidRPr="00896483">
              <w:rPr>
                <w:rFonts w:ascii="Arial" w:hAnsi="Arial" w:cs="Arial"/>
                <w:b/>
                <w:sz w:val="24"/>
                <w:szCs w:val="24"/>
              </w:rPr>
              <w:t>The extent to which and how funds will be used to implement prevention and mitigation strategies consistent with CDC guidance on reopening schools</w:t>
            </w:r>
          </w:p>
          <w:p w:rsidR="00896483" w:rsidRPr="00896483" w:rsidRDefault="00896483">
            <w:pPr>
              <w:rPr>
                <w:rFonts w:ascii="Arial" w:hAnsi="Arial" w:cs="Arial"/>
              </w:rPr>
            </w:pPr>
          </w:p>
          <w:p w:rsidR="00896483" w:rsidRDefault="00896483">
            <w:r>
              <w:t>During the 2021-2022 academic year, the Grant County School district will continue to implement enhanced cleaning methods, contact tracing, and social distancing when possible.  The district will prioritize 5 day a week in person instruction but will also use virtual instruction and possible hybrid instruction when necessary as the district did during the 2020-2021 academic year.</w:t>
            </w:r>
          </w:p>
          <w:p w:rsidR="00896483" w:rsidRDefault="00896483"/>
        </w:tc>
      </w:tr>
      <w:tr w:rsidR="00174B5E" w:rsidTr="00F7478D">
        <w:trPr>
          <w:trHeight w:val="4622"/>
        </w:trPr>
        <w:tc>
          <w:tcPr>
            <w:tcW w:w="9350" w:type="dxa"/>
          </w:tcPr>
          <w:p w:rsidR="00174B5E" w:rsidRPr="00896483" w:rsidRDefault="00174B5E">
            <w:pPr>
              <w:rPr>
                <w:b/>
              </w:rPr>
            </w:pPr>
            <w:r w:rsidRPr="00896483">
              <w:rPr>
                <w:rFonts w:ascii="Arial" w:hAnsi="Arial" w:cs="Arial"/>
                <w:b/>
                <w:sz w:val="24"/>
                <w:szCs w:val="24"/>
              </w:rPr>
              <w:t>How the LEA will use funds to address the academic impact of lost instructional time through the implementation of evidenced based intervention</w:t>
            </w:r>
          </w:p>
          <w:p w:rsidR="00174B5E" w:rsidRDefault="00174B5E"/>
          <w:tbl>
            <w:tblPr>
              <w:tblStyle w:val="TableGrid"/>
              <w:tblW w:w="0" w:type="auto"/>
              <w:tblLook w:val="04A0" w:firstRow="1" w:lastRow="0" w:firstColumn="1" w:lastColumn="0" w:noHBand="0" w:noVBand="1"/>
            </w:tblPr>
            <w:tblGrid>
              <w:gridCol w:w="1082"/>
              <w:gridCol w:w="3295"/>
              <w:gridCol w:w="4747"/>
            </w:tblGrid>
            <w:tr w:rsidR="00174B5E" w:rsidTr="007E2C45">
              <w:tc>
                <w:tcPr>
                  <w:tcW w:w="1223" w:type="dxa"/>
                  <w:shd w:val="clear" w:color="auto" w:fill="C5E0B3" w:themeFill="accent6" w:themeFillTint="66"/>
                </w:tcPr>
                <w:p w:rsidR="00174B5E" w:rsidRPr="007E2C45" w:rsidRDefault="00174B5E" w:rsidP="007E2C45">
                  <w:pPr>
                    <w:jc w:val="center"/>
                    <w:rPr>
                      <w:b/>
                    </w:rPr>
                  </w:pPr>
                  <w:r w:rsidRPr="007E2C45">
                    <w:rPr>
                      <w:b/>
                    </w:rPr>
                    <w:t>Timeline</w:t>
                  </w:r>
                </w:p>
              </w:tc>
              <w:tc>
                <w:tcPr>
                  <w:tcW w:w="6309" w:type="dxa"/>
                  <w:shd w:val="clear" w:color="auto" w:fill="C5E0B3" w:themeFill="accent6" w:themeFillTint="66"/>
                </w:tcPr>
                <w:p w:rsidR="00174B5E" w:rsidRPr="007E2C45" w:rsidRDefault="00174B5E" w:rsidP="007E2C45">
                  <w:pPr>
                    <w:jc w:val="center"/>
                    <w:rPr>
                      <w:b/>
                    </w:rPr>
                  </w:pPr>
                  <w:r w:rsidRPr="007E2C45">
                    <w:rPr>
                      <w:b/>
                    </w:rPr>
                    <w:t>Strategy</w:t>
                  </w:r>
                </w:p>
              </w:tc>
              <w:tc>
                <w:tcPr>
                  <w:tcW w:w="1592" w:type="dxa"/>
                  <w:shd w:val="clear" w:color="auto" w:fill="C5E0B3" w:themeFill="accent6" w:themeFillTint="66"/>
                </w:tcPr>
                <w:p w:rsidR="00174B5E" w:rsidRPr="007E2C45" w:rsidRDefault="00174B5E" w:rsidP="007E2C45">
                  <w:pPr>
                    <w:jc w:val="center"/>
                    <w:rPr>
                      <w:b/>
                    </w:rPr>
                  </w:pPr>
                  <w:r w:rsidRPr="007E2C45">
                    <w:rPr>
                      <w:b/>
                    </w:rPr>
                    <w:t>Evidence Based Citation</w:t>
                  </w:r>
                </w:p>
              </w:tc>
            </w:tr>
            <w:tr w:rsidR="00174B5E" w:rsidTr="00BF28C6">
              <w:tc>
                <w:tcPr>
                  <w:tcW w:w="1223" w:type="dxa"/>
                </w:tcPr>
                <w:p w:rsidR="00174B5E" w:rsidRDefault="00174B5E">
                  <w:r>
                    <w:t>2021-2023</w:t>
                  </w:r>
                </w:p>
              </w:tc>
              <w:tc>
                <w:tcPr>
                  <w:tcW w:w="6309" w:type="dxa"/>
                </w:tcPr>
                <w:p w:rsidR="00174B5E" w:rsidRDefault="00174B5E" w:rsidP="00174B5E">
                  <w:r>
                    <w:t xml:space="preserve"> Summer School - The district will expand and enhance summer school opportunities for students both in duration and targeted skill instruction.  This will include grade and credit recovery at the middle and high school, focused on individualization of student needs.  </w:t>
                  </w:r>
                </w:p>
                <w:p w:rsidR="00174B5E" w:rsidRDefault="00174B5E" w:rsidP="00174B5E"/>
                <w:p w:rsidR="00174B5E" w:rsidRDefault="00174B5E" w:rsidP="00174B5E">
                  <w:r>
                    <w:t>Highly qualified staff will be selected to teach and student</w:t>
                  </w:r>
                  <w:r w:rsidR="00BF28C6">
                    <w:t xml:space="preserve">s will be identified using data from MAP (Measures of Academic Progress).  </w:t>
                  </w:r>
                </w:p>
                <w:p w:rsidR="000A4786" w:rsidRDefault="000A4786" w:rsidP="00174B5E"/>
                <w:p w:rsidR="000A4786" w:rsidRDefault="000A4786" w:rsidP="00174B5E">
                  <w:r>
                    <w:t xml:space="preserve">In addition, transportation will be provided throughout the district to ensure there is not a barrier for students.  </w:t>
                  </w:r>
                </w:p>
                <w:p w:rsidR="000A4786" w:rsidRDefault="000A4786" w:rsidP="00174B5E"/>
                <w:p w:rsidR="000A4786" w:rsidRDefault="000A4786" w:rsidP="00174B5E">
                  <w:r>
                    <w:t xml:space="preserve">Summer school will be a </w:t>
                  </w:r>
                  <w:proofErr w:type="gramStart"/>
                  <w:r>
                    <w:t>five week</w:t>
                  </w:r>
                  <w:proofErr w:type="gramEnd"/>
                  <w:r>
                    <w:t xml:space="preserve"> program.  3 weeks in June and 2 in July.</w:t>
                  </w:r>
                </w:p>
                <w:p w:rsidR="00174B5E" w:rsidRDefault="00174B5E" w:rsidP="00174B5E"/>
              </w:tc>
              <w:tc>
                <w:tcPr>
                  <w:tcW w:w="1592" w:type="dxa"/>
                </w:tcPr>
                <w:p w:rsidR="00174B5E" w:rsidRDefault="009E7148">
                  <w:hyperlink r:id="rId7" w:history="1">
                    <w:r w:rsidR="00174B5E" w:rsidRPr="00A21137">
                      <w:rPr>
                        <w:rStyle w:val="Hyperlink"/>
                      </w:rPr>
                      <w:t>https://www.brookings.edu/research/summer-learning-loss-what-is-it-and-what-can-we-do-about-it/</w:t>
                    </w:r>
                  </w:hyperlink>
                </w:p>
                <w:p w:rsidR="00174B5E" w:rsidRDefault="00174B5E"/>
                <w:p w:rsidR="00174B5E" w:rsidRDefault="009E7148">
                  <w:hyperlink r:id="rId8" w:history="1">
                    <w:r w:rsidR="00174B5E" w:rsidRPr="00A21137">
                      <w:rPr>
                        <w:rStyle w:val="Hyperlink"/>
                      </w:rPr>
                      <w:t>https://hechingerreport.org/research-evidence-for-summer-learning/</w:t>
                    </w:r>
                  </w:hyperlink>
                </w:p>
                <w:p w:rsidR="00174B5E" w:rsidRDefault="00174B5E"/>
                <w:p w:rsidR="00174B5E" w:rsidRDefault="00174B5E">
                  <w:r>
                    <w:rPr>
                      <w:rFonts w:ascii="Arial" w:hAnsi="Arial" w:cs="Arial"/>
                      <w:color w:val="333333"/>
                      <w:sz w:val="20"/>
                      <w:szCs w:val="20"/>
                      <w:shd w:val="clear" w:color="auto" w:fill="FFFFFF"/>
                    </w:rPr>
                    <w:t>Bowers, L. M. &amp; Schwarz, I. (2018). Preventing summer learning loss: Results of a summer literacy program for students from low-SES homes. </w:t>
                  </w:r>
                  <w:r>
                    <w:rPr>
                      <w:rStyle w:val="Emphasis"/>
                      <w:rFonts w:ascii="Arial" w:hAnsi="Arial" w:cs="Arial"/>
                      <w:color w:val="333333"/>
                      <w:sz w:val="20"/>
                      <w:szCs w:val="20"/>
                      <w:shd w:val="clear" w:color="auto" w:fill="FFFFFF"/>
                    </w:rPr>
                    <w:t>Reading &amp; Writing Quarterly, 34</w:t>
                  </w:r>
                  <w:r>
                    <w:rPr>
                      <w:rFonts w:ascii="Arial" w:hAnsi="Arial" w:cs="Arial"/>
                      <w:color w:val="333333"/>
                      <w:sz w:val="20"/>
                      <w:szCs w:val="20"/>
                      <w:shd w:val="clear" w:color="auto" w:fill="FFFFFF"/>
                    </w:rPr>
                    <w:t>(2), 99-116. </w:t>
                  </w:r>
                  <w:hyperlink r:id="rId9" w:history="1">
                    <w:r w:rsidRPr="00A21137">
                      <w:rPr>
                        <w:rStyle w:val="Hyperlink"/>
                      </w:rPr>
                      <w:t>https://eric.ed.gov/?id=EJ1171006</w:t>
                    </w:r>
                  </w:hyperlink>
                </w:p>
                <w:p w:rsidR="00174B5E" w:rsidRDefault="00174B5E"/>
              </w:tc>
            </w:tr>
            <w:tr w:rsidR="00BF28C6" w:rsidTr="00BF28C6">
              <w:tc>
                <w:tcPr>
                  <w:tcW w:w="1223" w:type="dxa"/>
                </w:tcPr>
                <w:p w:rsidR="00BF28C6" w:rsidRDefault="00BF28C6">
                  <w:r>
                    <w:t>2021-2023</w:t>
                  </w:r>
                </w:p>
              </w:tc>
              <w:tc>
                <w:tcPr>
                  <w:tcW w:w="6309" w:type="dxa"/>
                </w:tcPr>
                <w:p w:rsidR="00BF28C6" w:rsidRDefault="00BF28C6" w:rsidP="00BF28C6">
                  <w:r>
                    <w:t xml:space="preserve">Intervention – The district will provide additional support for students through the addition of Read180 intervention teachers at each elementary school.  This will include setting up the program, training, and materials needed to ensure the program is taught </w:t>
                  </w:r>
                  <w:proofErr w:type="gramStart"/>
                  <w:r>
                    <w:t>with  fidelity</w:t>
                  </w:r>
                  <w:proofErr w:type="gramEnd"/>
                  <w:r>
                    <w:t xml:space="preserve">. </w:t>
                  </w:r>
                </w:p>
              </w:tc>
              <w:tc>
                <w:tcPr>
                  <w:tcW w:w="1592" w:type="dxa"/>
                </w:tcPr>
                <w:p w:rsidR="00BF28C6" w:rsidRDefault="009E7148" w:rsidP="00A42A88">
                  <w:pPr>
                    <w:shd w:val="clear" w:color="auto" w:fill="FFFFFF"/>
                    <w:spacing w:after="158" w:line="264" w:lineRule="atLeast"/>
                    <w:outlineLvl w:val="0"/>
                    <w:rPr>
                      <w:sz w:val="20"/>
                    </w:rPr>
                  </w:pPr>
                  <w:hyperlink r:id="rId10" w:history="1">
                    <w:r w:rsidR="00A42A88" w:rsidRPr="00A21137">
                      <w:rPr>
                        <w:rStyle w:val="Hyperlink"/>
                        <w:sz w:val="20"/>
                      </w:rPr>
                      <w:t>https://www.hmhco.com/research/read-180-research-foundations</w:t>
                    </w:r>
                  </w:hyperlink>
                </w:p>
                <w:p w:rsidR="00A42A88" w:rsidRPr="00A42A88" w:rsidRDefault="00A42A88" w:rsidP="00A42A88">
                  <w:pPr>
                    <w:shd w:val="clear" w:color="auto" w:fill="FFFFFF"/>
                    <w:spacing w:after="158" w:line="264" w:lineRule="atLeast"/>
                    <w:outlineLvl w:val="0"/>
                    <w:rPr>
                      <w:sz w:val="20"/>
                    </w:rPr>
                  </w:pPr>
                </w:p>
              </w:tc>
            </w:tr>
            <w:tr w:rsidR="00A42A88" w:rsidTr="00BF28C6">
              <w:tc>
                <w:tcPr>
                  <w:tcW w:w="1223" w:type="dxa"/>
                </w:tcPr>
                <w:p w:rsidR="00A42A88" w:rsidRDefault="000A4786">
                  <w:r>
                    <w:lastRenderedPageBreak/>
                    <w:t>2021-2023</w:t>
                  </w:r>
                </w:p>
              </w:tc>
              <w:tc>
                <w:tcPr>
                  <w:tcW w:w="6309" w:type="dxa"/>
                </w:tcPr>
                <w:p w:rsidR="00A42A88" w:rsidRDefault="000A4786" w:rsidP="00BF28C6">
                  <w:r>
                    <w:t xml:space="preserve">Professional Development – The district will provide training through Solution Tree specifically on Professional Learning Communities.  This will provide teachers with the structure for analyzing student work and understanding the needs in their classroom based on data.  </w:t>
                  </w:r>
                </w:p>
              </w:tc>
              <w:tc>
                <w:tcPr>
                  <w:tcW w:w="1592" w:type="dxa"/>
                </w:tcPr>
                <w:p w:rsidR="00A42A88" w:rsidRDefault="009E7148" w:rsidP="00A42A88">
                  <w:pPr>
                    <w:shd w:val="clear" w:color="auto" w:fill="FFFFFF"/>
                    <w:spacing w:after="158" w:line="264" w:lineRule="atLeast"/>
                    <w:outlineLvl w:val="0"/>
                    <w:rPr>
                      <w:sz w:val="20"/>
                    </w:rPr>
                  </w:pPr>
                  <w:hyperlink r:id="rId11" w:history="1">
                    <w:r w:rsidR="000A4786" w:rsidRPr="00A21137">
                      <w:rPr>
                        <w:rStyle w:val="Hyperlink"/>
                        <w:sz w:val="20"/>
                      </w:rPr>
                      <w:t>https://www.solutiontree.com/events.html</w:t>
                    </w:r>
                  </w:hyperlink>
                </w:p>
                <w:p w:rsidR="000A4786" w:rsidRDefault="000A4786" w:rsidP="00A42A88">
                  <w:pPr>
                    <w:shd w:val="clear" w:color="auto" w:fill="FFFFFF"/>
                    <w:spacing w:after="158" w:line="264" w:lineRule="atLeast"/>
                    <w:outlineLvl w:val="0"/>
                    <w:rPr>
                      <w:sz w:val="20"/>
                    </w:rPr>
                  </w:pPr>
                </w:p>
              </w:tc>
            </w:tr>
            <w:tr w:rsidR="007E2C45" w:rsidTr="00BF28C6">
              <w:tc>
                <w:tcPr>
                  <w:tcW w:w="1223" w:type="dxa"/>
                </w:tcPr>
                <w:p w:rsidR="007E2C45" w:rsidRDefault="007E2C45">
                  <w:r>
                    <w:t>2021</w:t>
                  </w:r>
                </w:p>
              </w:tc>
              <w:tc>
                <w:tcPr>
                  <w:tcW w:w="6309" w:type="dxa"/>
                </w:tcPr>
                <w:p w:rsidR="007E2C45" w:rsidRDefault="007E2C45" w:rsidP="00BF28C6">
                  <w:r>
                    <w:t xml:space="preserve">Virtual Academy – The district will hire 6 teachers to enable K-5 virtual academy for students who prefer this type of educational setting.  </w:t>
                  </w:r>
                </w:p>
                <w:p w:rsidR="007E2C45" w:rsidRDefault="007E2C45" w:rsidP="00BF28C6"/>
                <w:p w:rsidR="007E2C45" w:rsidRDefault="007E2C45" w:rsidP="00BF28C6">
                  <w:r>
                    <w:t xml:space="preserve">In addition, students at the middle school will be offered a virtual option using the Summit platform and high school students will utilize </w:t>
                  </w:r>
                  <w:proofErr w:type="spellStart"/>
                  <w:r>
                    <w:t>Edgenuity</w:t>
                  </w:r>
                  <w:proofErr w:type="spellEnd"/>
                  <w:r>
                    <w:t>.</w:t>
                  </w:r>
                </w:p>
              </w:tc>
              <w:tc>
                <w:tcPr>
                  <w:tcW w:w="1592" w:type="dxa"/>
                </w:tcPr>
                <w:p w:rsidR="007E2C45" w:rsidRDefault="007E2C45" w:rsidP="00A42A88">
                  <w:pPr>
                    <w:shd w:val="clear" w:color="auto" w:fill="FFFFFF"/>
                    <w:spacing w:after="158" w:line="264" w:lineRule="atLeast"/>
                    <w:outlineLvl w:val="0"/>
                  </w:pPr>
                  <w:proofErr w:type="spellStart"/>
                  <w:r>
                    <w:t>Borup</w:t>
                  </w:r>
                  <w:proofErr w:type="spellEnd"/>
                  <w:r>
                    <w:t xml:space="preserve">, J., West, R. E., Graham, C. R., &amp; Davies, R. S. (2014). The Adolescent Community of Engagement framework: A framework for research on adolescent online learning. Journal of Technology and Teacher Education, 22(1), 107–129. Retrieved from </w:t>
                  </w:r>
                  <w:hyperlink r:id="rId12" w:history="1">
                    <w:r w:rsidRPr="00A21137">
                      <w:rPr>
                        <w:rStyle w:val="Hyperlink"/>
                      </w:rPr>
                      <w:t>https://eric.ed.gov/?id=EJ102508</w:t>
                    </w:r>
                  </w:hyperlink>
                </w:p>
                <w:p w:rsidR="007E2C45" w:rsidRDefault="007E2C45" w:rsidP="00A42A88">
                  <w:pPr>
                    <w:shd w:val="clear" w:color="auto" w:fill="FFFFFF"/>
                    <w:spacing w:after="158" w:line="264" w:lineRule="atLeast"/>
                    <w:outlineLvl w:val="0"/>
                  </w:pPr>
                </w:p>
                <w:p w:rsidR="007E2C45" w:rsidRDefault="009E7148" w:rsidP="00A42A88">
                  <w:pPr>
                    <w:shd w:val="clear" w:color="auto" w:fill="FFFFFF"/>
                    <w:spacing w:after="158" w:line="264" w:lineRule="atLeast"/>
                    <w:outlineLvl w:val="0"/>
                  </w:pPr>
                  <w:hyperlink r:id="rId13" w:history="1">
                    <w:r w:rsidR="007E2C45" w:rsidRPr="00A21137">
                      <w:rPr>
                        <w:rStyle w:val="Hyperlink"/>
                      </w:rPr>
                      <w:t>https://www.summitlearning.org/</w:t>
                    </w:r>
                  </w:hyperlink>
                </w:p>
                <w:p w:rsidR="007E2C45" w:rsidRDefault="007E2C45" w:rsidP="00A42A88">
                  <w:pPr>
                    <w:shd w:val="clear" w:color="auto" w:fill="FFFFFF"/>
                    <w:spacing w:after="158" w:line="264" w:lineRule="atLeast"/>
                    <w:outlineLvl w:val="0"/>
                  </w:pPr>
                </w:p>
                <w:p w:rsidR="007E2C45" w:rsidRPr="007E2C45" w:rsidRDefault="009E7148" w:rsidP="00A42A88">
                  <w:pPr>
                    <w:shd w:val="clear" w:color="auto" w:fill="FFFFFF"/>
                    <w:spacing w:after="158" w:line="264" w:lineRule="atLeast"/>
                    <w:outlineLvl w:val="0"/>
                  </w:pPr>
                  <w:hyperlink r:id="rId14" w:history="1">
                    <w:r w:rsidR="007E2C45" w:rsidRPr="00A21137">
                      <w:rPr>
                        <w:rStyle w:val="Hyperlink"/>
                      </w:rPr>
                      <w:t>https://www.edgenuity.com/</w:t>
                    </w:r>
                  </w:hyperlink>
                </w:p>
              </w:tc>
            </w:tr>
            <w:tr w:rsidR="007E2C45" w:rsidTr="00BF28C6">
              <w:tc>
                <w:tcPr>
                  <w:tcW w:w="1223" w:type="dxa"/>
                </w:tcPr>
                <w:p w:rsidR="007E2C45" w:rsidRDefault="007E2C45">
                  <w:r>
                    <w:t>2021-2023</w:t>
                  </w:r>
                </w:p>
              </w:tc>
              <w:tc>
                <w:tcPr>
                  <w:tcW w:w="6309" w:type="dxa"/>
                </w:tcPr>
                <w:p w:rsidR="007E2C45" w:rsidRDefault="007E2C45" w:rsidP="00BF28C6">
                  <w:r>
                    <w:t>Tutoring – The district will increase the opportunity for students to attend tutoring services throughout the school year.</w:t>
                  </w:r>
                </w:p>
              </w:tc>
              <w:tc>
                <w:tcPr>
                  <w:tcW w:w="1592" w:type="dxa"/>
                </w:tcPr>
                <w:p w:rsidR="007E2C45" w:rsidRDefault="009E7148" w:rsidP="00A42A88">
                  <w:pPr>
                    <w:shd w:val="clear" w:color="auto" w:fill="FFFFFF"/>
                    <w:spacing w:after="158" w:line="264" w:lineRule="atLeast"/>
                    <w:outlineLvl w:val="0"/>
                  </w:pPr>
                  <w:hyperlink r:id="rId15" w:history="1">
                    <w:r w:rsidR="0048090C" w:rsidRPr="00A21137">
                      <w:rPr>
                        <w:rStyle w:val="Hyperlink"/>
                      </w:rPr>
                      <w:t>https://www.oxfordlearning.com/benefits-of-tutoring/</w:t>
                    </w:r>
                  </w:hyperlink>
                </w:p>
                <w:p w:rsidR="0048090C" w:rsidRDefault="0048090C" w:rsidP="00A42A88">
                  <w:pPr>
                    <w:shd w:val="clear" w:color="auto" w:fill="FFFFFF"/>
                    <w:spacing w:after="158" w:line="264" w:lineRule="atLeast"/>
                    <w:outlineLvl w:val="0"/>
                  </w:pPr>
                </w:p>
              </w:tc>
            </w:tr>
            <w:tr w:rsidR="0048090C" w:rsidTr="00BF28C6">
              <w:tc>
                <w:tcPr>
                  <w:tcW w:w="1223" w:type="dxa"/>
                </w:tcPr>
                <w:p w:rsidR="0048090C" w:rsidRDefault="0048090C">
                  <w:r>
                    <w:t>2021-2023</w:t>
                  </w:r>
                </w:p>
              </w:tc>
              <w:tc>
                <w:tcPr>
                  <w:tcW w:w="6309" w:type="dxa"/>
                </w:tcPr>
                <w:p w:rsidR="0048090C" w:rsidRDefault="0048090C" w:rsidP="00BF28C6">
                  <w:r>
                    <w:t xml:space="preserve">Engagement Coaches – Elementary to service 4 schools.  Middle/High to service 2 schools.  </w:t>
                  </w:r>
                </w:p>
                <w:p w:rsidR="0048090C" w:rsidRDefault="0048090C" w:rsidP="00BF28C6">
                  <w:r>
                    <w:t xml:space="preserve">Engagement coaches are charged with working directly with staff to increase the cooperative learning structures within the classroom to maximize the student impact of learning content.  </w:t>
                  </w:r>
                </w:p>
              </w:tc>
              <w:tc>
                <w:tcPr>
                  <w:tcW w:w="1592" w:type="dxa"/>
                </w:tcPr>
                <w:p w:rsidR="0048090C" w:rsidRDefault="009E7148" w:rsidP="00A42A88">
                  <w:pPr>
                    <w:shd w:val="clear" w:color="auto" w:fill="FFFFFF"/>
                    <w:spacing w:after="158" w:line="264" w:lineRule="atLeast"/>
                    <w:outlineLvl w:val="0"/>
                  </w:pPr>
                  <w:hyperlink r:id="rId16" w:history="1">
                    <w:r w:rsidR="0048090C" w:rsidRPr="00A21137">
                      <w:rPr>
                        <w:rStyle w:val="Hyperlink"/>
                      </w:rPr>
                      <w:t>https://teaching.washington.edu/topics/engaging-students-in-learning/</w:t>
                    </w:r>
                  </w:hyperlink>
                </w:p>
                <w:p w:rsidR="0048090C" w:rsidRDefault="009E7148" w:rsidP="00A42A88">
                  <w:pPr>
                    <w:shd w:val="clear" w:color="auto" w:fill="FFFFFF"/>
                    <w:spacing w:after="158" w:line="264" w:lineRule="atLeast"/>
                    <w:outlineLvl w:val="0"/>
                  </w:pPr>
                  <w:hyperlink r:id="rId17" w:history="1">
                    <w:r w:rsidR="0048090C" w:rsidRPr="00A21137">
                      <w:rPr>
                        <w:rStyle w:val="Hyperlink"/>
                      </w:rPr>
                      <w:t>https://www.utc.edu/academic-affairs/walker-center-for-teaching-and-learning/online-resources/cooperative-learning</w:t>
                    </w:r>
                  </w:hyperlink>
                </w:p>
                <w:p w:rsidR="0048090C" w:rsidRDefault="0048090C" w:rsidP="00A42A88">
                  <w:pPr>
                    <w:shd w:val="clear" w:color="auto" w:fill="FFFFFF"/>
                    <w:spacing w:after="158" w:line="264" w:lineRule="atLeast"/>
                    <w:outlineLvl w:val="0"/>
                  </w:pPr>
                </w:p>
              </w:tc>
            </w:tr>
          </w:tbl>
          <w:p w:rsidR="00174B5E" w:rsidRDefault="00174B5E"/>
          <w:p w:rsidR="00174B5E" w:rsidRDefault="00174B5E" w:rsidP="00F7478D"/>
          <w:p w:rsidR="00896483" w:rsidRDefault="00896483" w:rsidP="00F7478D"/>
          <w:p w:rsidR="00896483" w:rsidRDefault="00896483" w:rsidP="00F7478D"/>
        </w:tc>
      </w:tr>
      <w:tr w:rsidR="00896483" w:rsidTr="00D55BE8">
        <w:tc>
          <w:tcPr>
            <w:tcW w:w="9350" w:type="dxa"/>
          </w:tcPr>
          <w:p w:rsidR="00896483" w:rsidRDefault="00896483">
            <w:pPr>
              <w:rPr>
                <w:rFonts w:ascii="Arial" w:hAnsi="Arial" w:cs="Arial"/>
                <w:b/>
                <w:sz w:val="24"/>
                <w:szCs w:val="24"/>
              </w:rPr>
            </w:pPr>
            <w:r w:rsidRPr="00896483">
              <w:rPr>
                <w:rFonts w:ascii="Arial" w:hAnsi="Arial" w:cs="Arial"/>
                <w:b/>
                <w:sz w:val="24"/>
                <w:szCs w:val="24"/>
              </w:rPr>
              <w:lastRenderedPageBreak/>
              <w:t>How the LEA will spend the remainder of its funds.</w:t>
            </w:r>
          </w:p>
          <w:p w:rsidR="00896483" w:rsidRPr="00896483" w:rsidRDefault="00896483">
            <w:pPr>
              <w:rPr>
                <w:b/>
              </w:rPr>
            </w:pPr>
          </w:p>
          <w:p w:rsidR="00896483" w:rsidRDefault="00896483">
            <w:r>
              <w:t xml:space="preserve">The district will use the funds to purchase technology, provide enhanced opportunities for students that were lost due to COVID.  The district will also purchase all necessary supplies and equipment needed to cover enhanced COVID </w:t>
            </w:r>
            <w:r w:rsidR="009E7148">
              <w:t>cleaning efforts</w:t>
            </w:r>
            <w:bookmarkStart w:id="0" w:name="_GoBack"/>
            <w:bookmarkEnd w:id="0"/>
            <w:r>
              <w:t xml:space="preserve">.  </w:t>
            </w:r>
            <w:r w:rsidR="009E7148">
              <w:t xml:space="preserve">Improvements to the HVAC system at Grant County High School will be made to improve ventilation for that building. </w:t>
            </w:r>
            <w:r>
              <w:t xml:space="preserve">The district will also use the </w:t>
            </w:r>
            <w:r>
              <w:lastRenderedPageBreak/>
              <w:t>funds to provide professional development opportunities for staff to improve curriculum and instruction in the district.</w:t>
            </w:r>
            <w:r w:rsidR="00C76279">
              <w:t xml:space="preserve">  The district will also use the funds to incentivize staff attendance in order to assist students recover from the effects of the pandemic.</w:t>
            </w:r>
          </w:p>
          <w:p w:rsidR="00896483" w:rsidRDefault="00896483"/>
        </w:tc>
      </w:tr>
      <w:tr w:rsidR="007E2C45" w:rsidTr="00D635FE">
        <w:tc>
          <w:tcPr>
            <w:tcW w:w="9350" w:type="dxa"/>
          </w:tcPr>
          <w:p w:rsidR="007E2C45" w:rsidRPr="00896483" w:rsidRDefault="007E2C45">
            <w:pPr>
              <w:rPr>
                <w:rFonts w:ascii="Arial" w:hAnsi="Arial" w:cs="Arial"/>
                <w:b/>
                <w:sz w:val="24"/>
                <w:szCs w:val="24"/>
              </w:rPr>
            </w:pPr>
            <w:r w:rsidRPr="00896483">
              <w:rPr>
                <w:rFonts w:ascii="Arial" w:hAnsi="Arial" w:cs="Arial"/>
                <w:b/>
                <w:sz w:val="24"/>
                <w:szCs w:val="24"/>
              </w:rPr>
              <w:lastRenderedPageBreak/>
              <w:t>How the LEA will ensure that interventions address the academic impact, social, emotional, and mental health needs of all students.</w:t>
            </w:r>
          </w:p>
          <w:p w:rsidR="007E2C45" w:rsidRPr="007E2C45" w:rsidRDefault="007E2C45" w:rsidP="007E2C45">
            <w:pPr>
              <w:jc w:val="center"/>
              <w:rPr>
                <w:rFonts w:ascii="Arial" w:hAnsi="Arial" w:cs="Arial"/>
                <w:b/>
                <w:sz w:val="24"/>
                <w:szCs w:val="24"/>
              </w:rPr>
            </w:pPr>
          </w:p>
          <w:tbl>
            <w:tblPr>
              <w:tblStyle w:val="TableGrid"/>
              <w:tblW w:w="0" w:type="auto"/>
              <w:tblLook w:val="04A0" w:firstRow="1" w:lastRow="0" w:firstColumn="1" w:lastColumn="0" w:noHBand="0" w:noVBand="1"/>
            </w:tblPr>
            <w:tblGrid>
              <w:gridCol w:w="1087"/>
              <w:gridCol w:w="2547"/>
              <w:gridCol w:w="5490"/>
            </w:tblGrid>
            <w:tr w:rsidR="007E2C45" w:rsidRPr="007E2C45" w:rsidTr="007E2C45">
              <w:tc>
                <w:tcPr>
                  <w:tcW w:w="1142" w:type="dxa"/>
                  <w:shd w:val="clear" w:color="auto" w:fill="C5E0B3" w:themeFill="accent6" w:themeFillTint="66"/>
                </w:tcPr>
                <w:p w:rsidR="007E2C45" w:rsidRPr="007E2C45" w:rsidRDefault="007E2C45" w:rsidP="007E2C45">
                  <w:pPr>
                    <w:jc w:val="center"/>
                    <w:rPr>
                      <w:b/>
                    </w:rPr>
                  </w:pPr>
                  <w:r w:rsidRPr="007E2C45">
                    <w:rPr>
                      <w:b/>
                    </w:rPr>
                    <w:t>Timeline</w:t>
                  </w:r>
                </w:p>
              </w:tc>
              <w:tc>
                <w:tcPr>
                  <w:tcW w:w="3510" w:type="dxa"/>
                  <w:shd w:val="clear" w:color="auto" w:fill="C5E0B3" w:themeFill="accent6" w:themeFillTint="66"/>
                </w:tcPr>
                <w:p w:rsidR="007E2C45" w:rsidRPr="007E2C45" w:rsidRDefault="007E2C45" w:rsidP="007E2C45">
                  <w:pPr>
                    <w:jc w:val="center"/>
                    <w:rPr>
                      <w:b/>
                    </w:rPr>
                  </w:pPr>
                  <w:r w:rsidRPr="007E2C45">
                    <w:rPr>
                      <w:b/>
                    </w:rPr>
                    <w:t>Strategy</w:t>
                  </w:r>
                </w:p>
              </w:tc>
              <w:tc>
                <w:tcPr>
                  <w:tcW w:w="4472" w:type="dxa"/>
                  <w:shd w:val="clear" w:color="auto" w:fill="C5E0B3" w:themeFill="accent6" w:themeFillTint="66"/>
                </w:tcPr>
                <w:p w:rsidR="007E2C45" w:rsidRPr="007E2C45" w:rsidRDefault="007E2C45" w:rsidP="007E2C45">
                  <w:pPr>
                    <w:jc w:val="center"/>
                    <w:rPr>
                      <w:b/>
                    </w:rPr>
                  </w:pPr>
                  <w:r w:rsidRPr="007E2C45">
                    <w:rPr>
                      <w:b/>
                    </w:rPr>
                    <w:t>Evidence Based Citation</w:t>
                  </w:r>
                </w:p>
              </w:tc>
            </w:tr>
            <w:tr w:rsidR="007E2C45" w:rsidRPr="007E2C45" w:rsidTr="007E2C45">
              <w:tc>
                <w:tcPr>
                  <w:tcW w:w="1142" w:type="dxa"/>
                  <w:shd w:val="clear" w:color="auto" w:fill="auto"/>
                </w:tcPr>
                <w:p w:rsidR="007E2C45" w:rsidRPr="007E2C45" w:rsidRDefault="007E2C45" w:rsidP="007E2C45">
                  <w:r w:rsidRPr="007E2C45">
                    <w:t>2021-2023</w:t>
                  </w:r>
                </w:p>
              </w:tc>
              <w:tc>
                <w:tcPr>
                  <w:tcW w:w="3510" w:type="dxa"/>
                  <w:shd w:val="clear" w:color="auto" w:fill="auto"/>
                </w:tcPr>
                <w:p w:rsidR="007E2C45" w:rsidRPr="007E2C45" w:rsidRDefault="0048090C" w:rsidP="007E2C45">
                  <w:r>
                    <w:t>Behavior Coaches</w:t>
                  </w:r>
                </w:p>
              </w:tc>
              <w:tc>
                <w:tcPr>
                  <w:tcW w:w="4472" w:type="dxa"/>
                  <w:shd w:val="clear" w:color="auto" w:fill="auto"/>
                </w:tcPr>
                <w:p w:rsidR="007E2C45" w:rsidRDefault="009E7148" w:rsidP="007E2C45">
                  <w:hyperlink r:id="rId18" w:history="1">
                    <w:r w:rsidR="00C50D18" w:rsidRPr="00A21137">
                      <w:rPr>
                        <w:rStyle w:val="Hyperlink"/>
                      </w:rPr>
                      <w:t>https://www.ncbi.nlm.nih.gov/pmc/articles/PMC3626168/</w:t>
                    </w:r>
                  </w:hyperlink>
                </w:p>
                <w:p w:rsidR="00C50D18" w:rsidRPr="007E2C45" w:rsidRDefault="00C50D18" w:rsidP="007E2C45"/>
              </w:tc>
            </w:tr>
            <w:tr w:rsidR="0048090C" w:rsidRPr="007E2C45" w:rsidTr="007E2C45">
              <w:tc>
                <w:tcPr>
                  <w:tcW w:w="1142" w:type="dxa"/>
                  <w:shd w:val="clear" w:color="auto" w:fill="auto"/>
                </w:tcPr>
                <w:p w:rsidR="0048090C" w:rsidRPr="007E2C45" w:rsidRDefault="0048090C" w:rsidP="007E2C45">
                  <w:r>
                    <w:t>2021-2023</w:t>
                  </w:r>
                </w:p>
              </w:tc>
              <w:tc>
                <w:tcPr>
                  <w:tcW w:w="3510" w:type="dxa"/>
                  <w:shd w:val="clear" w:color="auto" w:fill="auto"/>
                </w:tcPr>
                <w:p w:rsidR="0048090C" w:rsidRDefault="0048090C" w:rsidP="007E2C45">
                  <w:r>
                    <w:t>Social Emotional Counselor</w:t>
                  </w:r>
                </w:p>
              </w:tc>
              <w:tc>
                <w:tcPr>
                  <w:tcW w:w="4472" w:type="dxa"/>
                  <w:shd w:val="clear" w:color="auto" w:fill="auto"/>
                </w:tcPr>
                <w:p w:rsidR="0048090C" w:rsidRDefault="009E7148" w:rsidP="007E2C45">
                  <w:hyperlink r:id="rId19" w:history="1">
                    <w:r w:rsidR="00C50D18" w:rsidRPr="00A21137">
                      <w:rPr>
                        <w:rStyle w:val="Hyperlink"/>
                      </w:rPr>
                      <w:t>https://files.eric.ed.gov/fulltext/EJ1219658.pdf</w:t>
                    </w:r>
                  </w:hyperlink>
                </w:p>
                <w:p w:rsidR="00C50D18" w:rsidRPr="007E2C45" w:rsidRDefault="00C50D18" w:rsidP="007E2C45"/>
              </w:tc>
            </w:tr>
          </w:tbl>
          <w:p w:rsidR="007E2C45" w:rsidRDefault="007E2C45"/>
          <w:p w:rsidR="007E2C45" w:rsidRDefault="007E2C45"/>
        </w:tc>
      </w:tr>
      <w:tr w:rsidR="00896483" w:rsidTr="004D5FC9">
        <w:tc>
          <w:tcPr>
            <w:tcW w:w="9350" w:type="dxa"/>
          </w:tcPr>
          <w:p w:rsidR="00896483" w:rsidRDefault="00896483">
            <w:pPr>
              <w:rPr>
                <w:rFonts w:ascii="Arial" w:hAnsi="Arial" w:cs="Arial"/>
                <w:b/>
                <w:sz w:val="24"/>
                <w:szCs w:val="24"/>
              </w:rPr>
            </w:pPr>
            <w:r w:rsidRPr="00896483">
              <w:rPr>
                <w:rFonts w:ascii="Arial" w:hAnsi="Arial" w:cs="Arial"/>
                <w:b/>
                <w:sz w:val="24"/>
                <w:szCs w:val="24"/>
              </w:rPr>
              <w:t>Consultation</w:t>
            </w:r>
          </w:p>
          <w:p w:rsidR="00896483" w:rsidRPr="00896483" w:rsidRDefault="00896483">
            <w:pPr>
              <w:rPr>
                <w:b/>
              </w:rPr>
            </w:pPr>
          </w:p>
          <w:p w:rsidR="00896483" w:rsidRDefault="00AF3702">
            <w:r>
              <w:t xml:space="preserve">Prior to the end of the school year in 2021, school administrators surveyed their local community and staffs regarding ideas for uses of the ESSER funds.  During the summer the district conducted several online surveys.   </w:t>
            </w:r>
            <w:r w:rsidR="00896483">
              <w:t>The district surveyed stakeholders (parents, community members, students, teachers) and used the results to help craft the district ESSER plan</w:t>
            </w:r>
            <w:r>
              <w:t>.  Th</w:t>
            </w:r>
            <w:r w:rsidR="003A1026">
              <w:t xml:space="preserve">e survey was distributed to all </w:t>
            </w:r>
            <w:r w:rsidR="002C0C59">
              <w:t>parents</w:t>
            </w:r>
            <w:r w:rsidR="00182C84">
              <w:t>,</w:t>
            </w:r>
            <w:r w:rsidR="002C0C59">
              <w:t xml:space="preserve"> teachers</w:t>
            </w:r>
            <w:r w:rsidR="00182C84">
              <w:t>, administrators</w:t>
            </w:r>
            <w:r w:rsidR="002C0C59">
              <w:t xml:space="preserve"> through I</w:t>
            </w:r>
            <w:r w:rsidR="00182C84">
              <w:t>nfinite Campus</w:t>
            </w:r>
            <w:r w:rsidR="002C0C59">
              <w:t xml:space="preserve"> and posted on the district’s webpage for community members to access.  At the time of the survey, the professional association </w:t>
            </w:r>
            <w:r w:rsidR="00182C84">
              <w:t xml:space="preserve">in the district </w:t>
            </w:r>
            <w:r w:rsidR="002C0C59">
              <w:t xml:space="preserve">had no leadership </w:t>
            </w:r>
            <w:r w:rsidR="00182C84">
              <w:t xml:space="preserve">due to resignations </w:t>
            </w:r>
            <w:r w:rsidR="002C0C59">
              <w:t>with which to consult</w:t>
            </w:r>
            <w:r w:rsidR="00182C84">
              <w:t xml:space="preserve"> so the survey to all staff included all remaining members of the association.  There are no civil rights organizations in the district to consult.</w:t>
            </w:r>
          </w:p>
        </w:tc>
      </w:tr>
    </w:tbl>
    <w:p w:rsidR="008A2CB5" w:rsidRDefault="008A2CB5"/>
    <w:sectPr w:rsidR="008A2CB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E0C" w:rsidRDefault="006C4E0C" w:rsidP="00337195">
      <w:pPr>
        <w:spacing w:after="0" w:line="240" w:lineRule="auto"/>
      </w:pPr>
      <w:r>
        <w:separator/>
      </w:r>
    </w:p>
  </w:endnote>
  <w:endnote w:type="continuationSeparator" w:id="0">
    <w:p w:rsidR="006C4E0C" w:rsidRDefault="006C4E0C" w:rsidP="0033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E0C" w:rsidRDefault="006C4E0C" w:rsidP="00337195">
      <w:pPr>
        <w:spacing w:after="0" w:line="240" w:lineRule="auto"/>
      </w:pPr>
      <w:r>
        <w:separator/>
      </w:r>
    </w:p>
  </w:footnote>
  <w:footnote w:type="continuationSeparator" w:id="0">
    <w:p w:rsidR="006C4E0C" w:rsidRDefault="006C4E0C" w:rsidP="0033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195" w:rsidRPr="00337195" w:rsidRDefault="00337195" w:rsidP="00337195">
    <w:pPr>
      <w:pStyle w:val="Header"/>
      <w:jc w:val="center"/>
      <w:rPr>
        <w:b/>
        <w:sz w:val="36"/>
        <w:szCs w:val="36"/>
      </w:rPr>
    </w:pPr>
    <w:r w:rsidRPr="00337195">
      <w:rPr>
        <w:b/>
        <w:sz w:val="36"/>
        <w:szCs w:val="36"/>
      </w:rPr>
      <w:t>Grant County Schools ESSER Plan</w:t>
    </w:r>
  </w:p>
  <w:p w:rsidR="00337195" w:rsidRPr="00337195" w:rsidRDefault="00337195" w:rsidP="00337195">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4122A"/>
    <w:multiLevelType w:val="hybridMultilevel"/>
    <w:tmpl w:val="A6C6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95"/>
    <w:rsid w:val="00077083"/>
    <w:rsid w:val="000A4786"/>
    <w:rsid w:val="001315AB"/>
    <w:rsid w:val="00174B5E"/>
    <w:rsid w:val="00182C84"/>
    <w:rsid w:val="00262AE0"/>
    <w:rsid w:val="002C0C59"/>
    <w:rsid w:val="002E453B"/>
    <w:rsid w:val="00337195"/>
    <w:rsid w:val="003A1026"/>
    <w:rsid w:val="003B3007"/>
    <w:rsid w:val="0048090C"/>
    <w:rsid w:val="006C4E0C"/>
    <w:rsid w:val="007E2C45"/>
    <w:rsid w:val="00896483"/>
    <w:rsid w:val="008A2CB5"/>
    <w:rsid w:val="00964C92"/>
    <w:rsid w:val="009E7148"/>
    <w:rsid w:val="00A42A88"/>
    <w:rsid w:val="00AE55DC"/>
    <w:rsid w:val="00AF3702"/>
    <w:rsid w:val="00B468D0"/>
    <w:rsid w:val="00BF28C6"/>
    <w:rsid w:val="00C36E52"/>
    <w:rsid w:val="00C46D3B"/>
    <w:rsid w:val="00C50D18"/>
    <w:rsid w:val="00C76279"/>
    <w:rsid w:val="00D9134B"/>
    <w:rsid w:val="00D94826"/>
    <w:rsid w:val="00E46422"/>
    <w:rsid w:val="00FC1947"/>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97D"/>
  <w15:chartTrackingRefBased/>
  <w15:docId w15:val="{1E0595B1-7FC0-4963-95B9-6D458369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95"/>
  </w:style>
  <w:style w:type="paragraph" w:styleId="Footer">
    <w:name w:val="footer"/>
    <w:basedOn w:val="Normal"/>
    <w:link w:val="FooterChar"/>
    <w:uiPriority w:val="99"/>
    <w:unhideWhenUsed/>
    <w:rsid w:val="00337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95"/>
  </w:style>
  <w:style w:type="table" w:styleId="TableGrid">
    <w:name w:val="Table Grid"/>
    <w:basedOn w:val="TableNormal"/>
    <w:uiPriority w:val="39"/>
    <w:rsid w:val="0033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53B"/>
    <w:pPr>
      <w:ind w:left="720"/>
      <w:contextualSpacing/>
    </w:pPr>
  </w:style>
  <w:style w:type="character" w:styleId="Hyperlink">
    <w:name w:val="Hyperlink"/>
    <w:basedOn w:val="DefaultParagraphFont"/>
    <w:uiPriority w:val="99"/>
    <w:unhideWhenUsed/>
    <w:rsid w:val="002E453B"/>
    <w:rPr>
      <w:color w:val="0563C1" w:themeColor="hyperlink"/>
      <w:u w:val="single"/>
    </w:rPr>
  </w:style>
  <w:style w:type="character" w:customStyle="1" w:styleId="UnresolvedMention1">
    <w:name w:val="Unresolved Mention1"/>
    <w:basedOn w:val="DefaultParagraphFont"/>
    <w:uiPriority w:val="99"/>
    <w:semiHidden/>
    <w:unhideWhenUsed/>
    <w:rsid w:val="002E453B"/>
    <w:rPr>
      <w:color w:val="605E5C"/>
      <w:shd w:val="clear" w:color="auto" w:fill="E1DFDD"/>
    </w:rPr>
  </w:style>
  <w:style w:type="character" w:styleId="Emphasis">
    <w:name w:val="Emphasis"/>
    <w:basedOn w:val="DefaultParagraphFont"/>
    <w:uiPriority w:val="20"/>
    <w:qFormat/>
    <w:rsid w:val="00174B5E"/>
    <w:rPr>
      <w:i/>
      <w:iCs/>
    </w:rPr>
  </w:style>
  <w:style w:type="character" w:styleId="FollowedHyperlink">
    <w:name w:val="FollowedHyperlink"/>
    <w:basedOn w:val="DefaultParagraphFont"/>
    <w:uiPriority w:val="99"/>
    <w:semiHidden/>
    <w:unhideWhenUsed/>
    <w:rsid w:val="00BF2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6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chingerreport.org/research-evidence-for-summer-learning/" TargetMode="External"/><Relationship Id="rId13" Type="http://schemas.openxmlformats.org/officeDocument/2006/relationships/hyperlink" Target="https://www.summitlearning.org/" TargetMode="External"/><Relationship Id="rId18" Type="http://schemas.openxmlformats.org/officeDocument/2006/relationships/hyperlink" Target="https://www.ncbi.nlm.nih.gov/pmc/articles/PMC362616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rookings.edu/research/summer-learning-loss-what-is-it-and-what-can-we-do-about-it/" TargetMode="External"/><Relationship Id="rId12" Type="http://schemas.openxmlformats.org/officeDocument/2006/relationships/hyperlink" Target="https://eric.ed.gov/?id=EJ102508" TargetMode="External"/><Relationship Id="rId17" Type="http://schemas.openxmlformats.org/officeDocument/2006/relationships/hyperlink" Target="https://www.utc.edu/academic-affairs/walker-center-for-teaching-and-learning/online-resources/cooperative-learning" TargetMode="External"/><Relationship Id="rId2" Type="http://schemas.openxmlformats.org/officeDocument/2006/relationships/styles" Target="styles.xml"/><Relationship Id="rId16" Type="http://schemas.openxmlformats.org/officeDocument/2006/relationships/hyperlink" Target="https://teaching.washington.edu/topics/engaging-students-in-learn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utiontree.com/events.html" TargetMode="External"/><Relationship Id="rId5" Type="http://schemas.openxmlformats.org/officeDocument/2006/relationships/footnotes" Target="footnotes.xml"/><Relationship Id="rId15" Type="http://schemas.openxmlformats.org/officeDocument/2006/relationships/hyperlink" Target="https://www.oxfordlearning.com/benefits-of-tutoring/" TargetMode="External"/><Relationship Id="rId10" Type="http://schemas.openxmlformats.org/officeDocument/2006/relationships/hyperlink" Target="https://www.hmhco.com/research/read-180-research-foundations" TargetMode="External"/><Relationship Id="rId19" Type="http://schemas.openxmlformats.org/officeDocument/2006/relationships/hyperlink" Target="https://files.eric.ed.gov/fulltext/EJ1219658.pdf" TargetMode="External"/><Relationship Id="rId4" Type="http://schemas.openxmlformats.org/officeDocument/2006/relationships/webSettings" Target="webSettings.xml"/><Relationship Id="rId9" Type="http://schemas.openxmlformats.org/officeDocument/2006/relationships/hyperlink" Target="https://eric.ed.gov/?id=EJ1171006" TargetMode="External"/><Relationship Id="rId14" Type="http://schemas.openxmlformats.org/officeDocument/2006/relationships/hyperlink" Target="https://www.edgenuit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Matt</dc:creator>
  <cp:keywords/>
  <dc:description/>
  <cp:lastModifiedBy>Morgan, Matt</cp:lastModifiedBy>
  <cp:revision>2</cp:revision>
  <cp:lastPrinted>2021-07-26T14:32:00Z</cp:lastPrinted>
  <dcterms:created xsi:type="dcterms:W3CDTF">2022-12-28T13:27:00Z</dcterms:created>
  <dcterms:modified xsi:type="dcterms:W3CDTF">2022-12-28T13:27:00Z</dcterms:modified>
</cp:coreProperties>
</file>